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P0 四工具 · 官方样例对照验证报告 v1.0</w:t>
      </w:r>
    </w:p>
    <w:p>
      <w:r>
        <w:t>验证人：工具熊猫 bot（独立参照实现，未参照被测代码）　日期：2026-08-20　结论：**180/180 全部通过（容差 ±0.01 元）**</w:t>
      </w:r>
    </w:p>
    <w:p>
      <w:pPr>
        <w:pStyle w:val="Heading1"/>
      </w:pPr>
      <w:r>
        <w:t>一、验证方法</w:t>
      </w:r>
    </w:p>
    <w:p>
      <w:pPr>
        <w:pStyle w:val="ListBullet"/>
      </w:pPr>
      <w:r>
        <w:t>提取被测工具内嵌计算引擎（「引擎开始/结束」标记切割，纯函数无 DOM）</w:t>
      </w:r>
    </w:p>
    <w:p>
      <w:pPr>
        <w:pStyle w:val="ListBullet"/>
      </w:pPr>
      <w:r>
        <w:t>用 Python 从法规原文独立重写四个参照计算器（税率表/速算扣除数/公式均独立录入）</w:t>
      </w:r>
    </w:p>
    <w:p>
      <w:pPr>
        <w:pStyle w:val="ListBullet"/>
      </w:pPr>
      <w:r>
        <w:t>每工具 18 组用例网格（常规值 + 档位跳档边界 + 上下限 + 零值/极大值），Node 驱动被测引擎输出，与参照逐项比对</w:t>
      </w:r>
    </w:p>
    <w:p>
      <w:pPr>
        <w:pStyle w:val="ListBullet"/>
      </w:pPr>
      <w:r>
        <w:t>容差 ±0.01 元（工具金额统一 round2）</w:t>
      </w:r>
    </w:p>
    <w:p>
      <w:pPr>
        <w:pStyle w:val="Heading1"/>
      </w:pPr>
      <w:r>
        <w:t>二、政策依据与样例来源</w:t>
      </w:r>
    </w:p>
    <w:tbl>
      <w:tblPr>
        <w:tblStyle w:val="LightGrid-Accent1"/>
        <w:tblW w:type="auto" w:w="0"/>
        <w:tblLook w:firstColumn="1" w:firstRow="1" w:lastColumn="0" w:lastRow="0" w:noHBand="0" w:noVBand="1" w:val="04A0"/>
      </w:tblPr>
      <w:tblGrid>
        <w:gridCol w:w="4320"/>
        <w:gridCol w:w="4320"/>
      </w:tblGrid>
      <w:tr>
        <w:tc>
          <w:tcPr>
            <w:tcW w:type="dxa" w:w="4320"/>
          </w:tcPr>
          <w:p>
            <w:r>
              <w:t>工具</w:t>
            </w:r>
          </w:p>
        </w:tc>
        <w:tc>
          <w:tcPr>
            <w:tcW w:type="dxa" w:w="4320"/>
          </w:tcPr>
          <w:p>
            <w:r>
              <w:t>依据/来源</w:t>
            </w:r>
          </w:p>
        </w:tc>
      </w:tr>
      <w:tr>
        <w:tc>
          <w:tcPr>
            <w:tcW w:type="dxa" w:w="4320"/>
          </w:tcPr>
          <w:p>
            <w:r>
              <w:t>个税</w:t>
            </w:r>
          </w:p>
        </w:tc>
        <w:tc>
          <w:tcPr>
            <w:tcW w:type="dxa" w:w="4320"/>
          </w:tcPr>
          <w:p>
            <w:r>
              <w:t>《个人所得税法》(2018修正) 综合所得税率表（年 36000/144000/300000/420000/660000/960000 七档）+ 累计预扣法（国家税务总局公告2018年第61号）；年终奖单独计税按月均值找档（国税发[2005]9号，延续至2027年底：财政部 税务总局公告2023年第30号）</w:t>
            </w:r>
          </w:p>
        </w:tc>
      </w:tr>
      <w:tr>
        <w:tc>
          <w:tcPr>
            <w:tcW w:type="dxa" w:w="4320"/>
          </w:tcPr>
          <w:p>
            <w:r>
              <w:t>社保公积金</w:t>
            </w:r>
          </w:p>
        </w:tc>
        <w:tc>
          <w:tcPr>
            <w:tcW w:type="dxa" w:w="4320"/>
          </w:tcPr>
          <w:p>
            <w:r>
              <w:t>北京市人社局 2025 社保年度通告（基数下限 6821 / 上限 35283）；上海市人社局通告（下限 7460 / 上限 37302，公积金 2690/37302）——与工具内置参数逐字一致</w:t>
            </w:r>
          </w:p>
        </w:tc>
      </w:tr>
      <w:tr>
        <w:tc>
          <w:tcPr>
            <w:tcW w:type="dxa" w:w="4320"/>
          </w:tcPr>
          <w:p>
            <w:r>
              <w:t>房贷</w:t>
            </w:r>
          </w:p>
        </w:tc>
        <w:tc>
          <w:tcPr>
            <w:tcW w:type="dxa" w:w="4320"/>
          </w:tcPr>
          <w:p>
            <w:r>
              <w:t>等额本息年金公式 A=P·r·(1+r)ⁿ/((1+r)ⁿ−1)、等额本金逐月递减——银行通用法定公式；组合贷=两笔独立贷款加总</w:t>
            </w:r>
          </w:p>
        </w:tc>
      </w:tr>
      <w:tr>
        <w:tc>
          <w:tcPr>
            <w:tcW w:type="dxa" w:w="4320"/>
          </w:tcPr>
          <w:p>
            <w:r>
              <w:t>增值税</w:t>
            </w:r>
          </w:p>
        </w:tc>
        <w:tc>
          <w:tcPr>
            <w:tcW w:type="dxa" w:w="4320"/>
          </w:tcPr>
          <w:p>
            <w:r>
              <w:t>《增值税法》(2026-01-01 施行) 13/9/6% 税率；小规模 3%/优惠 1%（财政部 税务总局公告2023年第19号，至2027-12-31）；价税分离公式为法定换算</w:t>
            </w:r>
          </w:p>
        </w:tc>
      </w:tr>
    </w:tbl>
    <w:p>
      <w:pPr>
        <w:pStyle w:val="Heading1"/>
      </w:pPr>
      <w:r>
        <w:t>三、结果</w:t>
      </w:r>
    </w:p>
    <w:tbl>
      <w:tblPr>
        <w:tblStyle w:val="LightGrid-Accent1"/>
        <w:tblW w:type="auto" w:w="0"/>
        <w:tblLook w:firstColumn="1" w:firstRow="1" w:lastColumn="0" w:lastRow="0" w:noHBand="0" w:noVBand="1" w:val="04A0"/>
      </w:tblPr>
      <w:tblGrid>
        <w:gridCol w:w="2160"/>
        <w:gridCol w:w="2160"/>
        <w:gridCol w:w="2160"/>
        <w:gridCol w:w="2160"/>
      </w:tblGrid>
      <w:tr>
        <w:tc>
          <w:tcPr>
            <w:tcW w:type="dxa" w:w="2160"/>
          </w:tcPr>
          <w:p>
            <w:r>
              <w:t>工具</w:t>
            </w:r>
          </w:p>
        </w:tc>
        <w:tc>
          <w:tcPr>
            <w:tcW w:type="dxa" w:w="2160"/>
          </w:tcPr>
          <w:p>
            <w:r>
              <w:t>比对项数</w:t>
            </w:r>
          </w:p>
        </w:tc>
        <w:tc>
          <w:tcPr>
            <w:tcW w:type="dxa" w:w="2160"/>
          </w:tcPr>
          <w:p>
            <w:r>
              <w:t>通过</w:t>
            </w:r>
          </w:p>
        </w:tc>
        <w:tc>
          <w:tcPr>
            <w:tcW w:type="dxa" w:w="2160"/>
          </w:tcPr>
          <w:p>
            <w:r>
              <w:t>通过率</w:t>
            </w:r>
          </w:p>
        </w:tc>
      </w:tr>
      <w:tr>
        <w:tc>
          <w:tcPr>
            <w:tcW w:type="dxa" w:w="2160"/>
          </w:tcPr>
          <w:p>
            <w:r>
              <w:t>个税计算器</w:t>
            </w:r>
          </w:p>
        </w:tc>
        <w:tc>
          <w:tcPr>
            <w:tcW w:type="dxa" w:w="2160"/>
          </w:tcPr>
          <w:p>
            <w:r>
              <w:t>72</w:t>
            </w:r>
          </w:p>
        </w:tc>
        <w:tc>
          <w:tcPr>
            <w:tcW w:type="dxa" w:w="2160"/>
          </w:tcPr>
          <w:p>
            <w:r>
              <w:t>72</w:t>
            </w:r>
          </w:p>
        </w:tc>
        <w:tc>
          <w:tcPr>
            <w:tcW w:type="dxa" w:w="2160"/>
          </w:tcPr>
          <w:p>
            <w:r>
              <w:t>100%</w:t>
            </w:r>
          </w:p>
        </w:tc>
      </w:tr>
      <w:tr>
        <w:tc>
          <w:tcPr>
            <w:tcW w:type="dxa" w:w="2160"/>
          </w:tcPr>
          <w:p>
            <w:r>
              <w:t>社保公积金计算器</w:t>
            </w:r>
          </w:p>
        </w:tc>
        <w:tc>
          <w:tcPr>
            <w:tcW w:type="dxa" w:w="2160"/>
          </w:tcPr>
          <w:p>
            <w:r>
              <w:t>18</w:t>
            </w:r>
          </w:p>
        </w:tc>
        <w:tc>
          <w:tcPr>
            <w:tcW w:type="dxa" w:w="2160"/>
          </w:tcPr>
          <w:p>
            <w:r>
              <w:t>18</w:t>
            </w:r>
          </w:p>
        </w:tc>
        <w:tc>
          <w:tcPr>
            <w:tcW w:type="dxa" w:w="2160"/>
          </w:tcPr>
          <w:p>
            <w:r>
              <w:t>100%</w:t>
            </w:r>
          </w:p>
        </w:tc>
      </w:tr>
      <w:tr>
        <w:tc>
          <w:tcPr>
            <w:tcW w:type="dxa" w:w="2160"/>
          </w:tcPr>
          <w:p>
            <w:r>
              <w:t>房贷计算器</w:t>
            </w:r>
          </w:p>
        </w:tc>
        <w:tc>
          <w:tcPr>
            <w:tcW w:type="dxa" w:w="2160"/>
          </w:tcPr>
          <w:p>
            <w:r>
              <w:t>36</w:t>
            </w:r>
          </w:p>
        </w:tc>
        <w:tc>
          <w:tcPr>
            <w:tcW w:type="dxa" w:w="2160"/>
          </w:tcPr>
          <w:p>
            <w:r>
              <w:t>36</w:t>
            </w:r>
          </w:p>
        </w:tc>
        <w:tc>
          <w:tcPr>
            <w:tcW w:type="dxa" w:w="2160"/>
          </w:tcPr>
          <w:p>
            <w:r>
              <w:t>100%</w:t>
            </w:r>
          </w:p>
        </w:tc>
      </w:tr>
      <w:tr>
        <w:tc>
          <w:tcPr>
            <w:tcW w:type="dxa" w:w="2160"/>
          </w:tcPr>
          <w:p>
            <w:r>
              <w:t>增值税计算器</w:t>
            </w:r>
          </w:p>
        </w:tc>
        <w:tc>
          <w:tcPr>
            <w:tcW w:type="dxa" w:w="2160"/>
          </w:tcPr>
          <w:p>
            <w:r>
              <w:t>54</w:t>
            </w:r>
          </w:p>
        </w:tc>
        <w:tc>
          <w:tcPr>
            <w:tcW w:type="dxa" w:w="2160"/>
          </w:tcPr>
          <w:p>
            <w:r>
              <w:t>54</w:t>
            </w:r>
          </w:p>
        </w:tc>
        <w:tc>
          <w:tcPr>
            <w:tcW w:type="dxa" w:w="2160"/>
          </w:tcPr>
          <w:p>
            <w:r>
              <w:t>100%</w:t>
            </w:r>
          </w:p>
        </w:tc>
      </w:tr>
      <w:tr>
        <w:tc>
          <w:tcPr>
            <w:tcW w:type="dxa" w:w="2160"/>
          </w:tcPr>
          <w:p>
            <w:r>
              <w:t>合计</w:t>
            </w:r>
          </w:p>
        </w:tc>
        <w:tc>
          <w:tcPr>
            <w:tcW w:type="dxa" w:w="2160"/>
          </w:tcPr>
          <w:p>
            <w:r>
              <w:t>180</w:t>
            </w:r>
          </w:p>
        </w:tc>
        <w:tc>
          <w:tcPr>
            <w:tcW w:type="dxa" w:w="2160"/>
          </w:tcPr>
          <w:p>
            <w:r>
              <w:t>180</w:t>
            </w:r>
          </w:p>
        </w:tc>
        <w:tc>
          <w:tcPr>
            <w:tcW w:type="dxa" w:w="2160"/>
          </w:tcPr>
          <w:p>
            <w:r>
              <w:t>100%</w:t>
            </w:r>
          </w:p>
        </w:tc>
      </w:tr>
    </w:tbl>
    <w:p>
      <w:pPr>
        <w:pStyle w:val="Heading1"/>
      </w:pPr>
      <w:r>
        <w:t>四、代表性官方样例核对（含在网格内）</w:t>
      </w:r>
    </w:p>
    <w:p>
      <w:pPr>
        <w:pStyle w:val="ListBullet"/>
      </w:pPr>
      <w:r>
        <w:t>月薪 10000 / 三险一金 2000 / 无专项附加 → 全年个税 1080 元（累计应纳税所得恰落 36000 元档顶，3%）</w:t>
      </w:r>
    </w:p>
    <w:p>
      <w:pPr>
        <w:pStyle w:val="ListBullet"/>
      </w:pPr>
      <w:r>
        <w:t>年终奖 36000 → 税 1080 / 税后 34920；36001 → 税 3390.10（经典临界点样例，档位跳变正确）</w:t>
      </w:r>
    </w:p>
    <w:p>
      <w:pPr>
        <w:pStyle w:val="ListBullet"/>
      </w:pPr>
      <w:r>
        <w:t>北京月薪 3000（低于下限）→ 养老/医疗/失业均按 6821 基数计（下限截断正确）</w:t>
      </w:r>
    </w:p>
    <w:p>
      <w:pPr>
        <w:pStyle w:val="ListBullet"/>
      </w:pPr>
      <w:r>
        <w:t>房贷 100 万 / 30 年 / 4.9% 等额本息 → 月供 5307.27 元（与银行通用样例一致）；等额本金首月 6861.11 元</w:t>
      </w:r>
    </w:p>
    <w:p>
      <w:pPr>
        <w:pStyle w:val="ListBullet"/>
      </w:pPr>
      <w:r>
        <w:t>增值税：11300 元含税 13% → 不含税 10000 / 税额 1300（法定换算）；1 亿元边界、0 元边界均正确处理</w:t>
      </w:r>
    </w:p>
    <w:p>
      <w:pPr>
        <w:pStyle w:val="Heading1"/>
      </w:pPr>
      <w:r>
        <w:t>五、结论与建议</w:t>
      </w:r>
    </w:p>
    <w:p>
      <w:r>
        <w:t>P0 四件套计算结果与法规原文独立实现 100% 一致，准确性与科学性验证通过。建议：①本周内将本对照纳入回归门（脚本已留 /tmp/xcheck，将固化到 scripts/）②30 天内完成 P1 十件套同法对照 ③工具页挂「验证声明」展示本报告链接。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PingFang SC" w:hAnsi="PingFang SC" w:eastAsia="PingFang SC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